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Résumé accessible – Étapes d’un traitement de dette au titre du Cadre commun</w:t>
      </w:r>
    </w:p>
    <w:p>
      <w:r>
        <w:t>Ce document présente sous forme textuelle les étapes du traitement de dette afin de fournir une alternative accessible au schéma.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Étape</w:t>
            </w:r>
          </w:p>
        </w:tc>
        <w:tc>
          <w:tcPr>
            <w:tcW w:type="dxa" w:w="4320"/>
          </w:tcPr>
          <w:p>
            <w:r>
              <w:t>Description</w:t>
            </w:r>
          </w:p>
        </w:tc>
      </w:tr>
      <w:tr>
        <w:tc>
          <w:tcPr>
            <w:tcW w:type="dxa" w:w="4320"/>
          </w:tcPr>
          <w:p>
            <w:r>
              <w:t>1. Pré‑restructuration – Cadre commun</w:t>
            </w:r>
          </w:p>
        </w:tc>
        <w:tc>
          <w:tcPr>
            <w:tcW w:type="dxa" w:w="4320"/>
          </w:tcPr>
          <w:p>
            <w:r>
              <w:t>Le pays effectue une demande officielle. Le comité des créanciers est créé. Des assurances de financement sont ensuite accordées.</w:t>
            </w:r>
          </w:p>
        </w:tc>
      </w:tr>
      <w:tr>
        <w:tc>
          <w:tcPr>
            <w:tcW w:type="dxa" w:w="4320"/>
          </w:tcPr>
          <w:p>
            <w:r>
              <w:t>2. Pré‑restructuration – Programme FMI</w:t>
            </w:r>
          </w:p>
        </w:tc>
        <w:tc>
          <w:tcPr>
            <w:tcW w:type="dxa" w:w="4320"/>
          </w:tcPr>
          <w:p>
            <w:r>
              <w:t>Un accord au niveau des services du FMI (SLA) est obtenu. Après les assurances de financement, le programme est approuvé par le conseil d’administration et le premier décaissement intervient.</w:t>
            </w:r>
          </w:p>
        </w:tc>
      </w:tr>
      <w:tr>
        <w:tc>
          <w:tcPr>
            <w:tcW w:type="dxa" w:w="4320"/>
          </w:tcPr>
          <w:p>
            <w:r>
              <w:t>3. Restructuration – Accord sur les principes</w:t>
            </w:r>
          </w:p>
        </w:tc>
        <w:tc>
          <w:tcPr>
            <w:tcW w:type="dxa" w:w="4320"/>
          </w:tcPr>
          <w:p>
            <w:r>
              <w:t>Les créanciers définissent les principaux paramètres du traitement de la dette.</w:t>
            </w:r>
          </w:p>
        </w:tc>
      </w:tr>
      <w:tr>
        <w:tc>
          <w:tcPr>
            <w:tcW w:type="dxa" w:w="4320"/>
          </w:tcPr>
          <w:p>
            <w:r>
              <w:t>4. Restructuration – Programme FMI</w:t>
            </w:r>
          </w:p>
        </w:tc>
        <w:tc>
          <w:tcPr>
            <w:tcW w:type="dxa" w:w="4320"/>
          </w:tcPr>
          <w:p>
            <w:r>
              <w:t>Une première revue du programme permet le deuxième décaissement, puis une deuxième revue permet le troisième décaissement.</w:t>
            </w:r>
          </w:p>
        </w:tc>
      </w:tr>
      <w:tr>
        <w:tc>
          <w:tcPr>
            <w:tcW w:type="dxa" w:w="4320"/>
          </w:tcPr>
          <w:p>
            <w:r>
              <w:t>5. Finalisation</w:t>
            </w:r>
          </w:p>
        </w:tc>
        <w:tc>
          <w:tcPr>
            <w:tcW w:type="dxa" w:w="4320"/>
          </w:tcPr>
          <w:p>
            <w:r>
              <w:t>Le protocole d’accord (MoU) est finalisé, puis les signatures du MoU sont reçues et les accords bilatéraux sont signés.</w:t>
            </w:r>
          </w:p>
        </w:tc>
      </w:tr>
    </w:tbl>
    <w:p>
      <w:r>
        <w:t>Ordre chronologique : les étapes se déroulent de la pré‑restructuration vers la restructuration.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